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21" w:rsidRDefault="00546321" w:rsidP="00546321">
      <w:pPr>
        <w:jc w:val="center"/>
      </w:pPr>
      <w:r>
        <w:t xml:space="preserve">Российская  Федерация </w:t>
      </w:r>
      <w:r>
        <w:br/>
        <w:t>Красноярский рай</w:t>
      </w:r>
      <w:r>
        <w:br/>
        <w:t>Казачинский район</w:t>
      </w:r>
      <w:r>
        <w:br/>
        <w:t>Отношенский сельский Совет депутатов</w:t>
      </w:r>
    </w:p>
    <w:p w:rsidR="00546321" w:rsidRDefault="00546321" w:rsidP="00546321"/>
    <w:p w:rsidR="00546321" w:rsidRDefault="00546321" w:rsidP="00546321">
      <w:pPr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546321" w:rsidRDefault="00546321" w:rsidP="00546321">
      <w:pPr>
        <w:jc w:val="center"/>
      </w:pPr>
    </w:p>
    <w:p w:rsidR="00546321" w:rsidRDefault="0027517C" w:rsidP="00546321">
      <w:r>
        <w:t>28.12</w:t>
      </w:r>
      <w:r w:rsidR="00546321">
        <w:t>.2021                                                  с. Отношка</w:t>
      </w:r>
      <w:r w:rsidR="00546321">
        <w:tab/>
      </w:r>
      <w:r w:rsidR="00546321">
        <w:tab/>
      </w:r>
      <w:r w:rsidR="00546321">
        <w:tab/>
      </w:r>
      <w:r w:rsidR="00546321">
        <w:tab/>
        <w:t xml:space="preserve">№ </w:t>
      </w:r>
      <w:r>
        <w:t>11-61</w:t>
      </w:r>
      <w:r w:rsidR="00546321">
        <w:t xml:space="preserve"> </w:t>
      </w:r>
      <w:proofErr w:type="spellStart"/>
      <w:r w:rsidR="00546321">
        <w:t>рс</w:t>
      </w:r>
      <w:proofErr w:type="spellEnd"/>
    </w:p>
    <w:p w:rsidR="00546321" w:rsidRDefault="00546321" w:rsidP="00546321"/>
    <w:p w:rsidR="00546321" w:rsidRDefault="00546321" w:rsidP="00546321">
      <w:pPr>
        <w:ind w:firstLine="426"/>
        <w:jc w:val="both"/>
      </w:pPr>
      <w:r>
        <w:rPr>
          <w:b/>
        </w:rPr>
        <w:t xml:space="preserve">О внесении изменений в Решение Отношенского сельского Совета депутатов от 24.12.2016 № 10-38 </w:t>
      </w:r>
      <w:proofErr w:type="spellStart"/>
      <w:r>
        <w:rPr>
          <w:b/>
        </w:rPr>
        <w:t>рс</w:t>
      </w:r>
      <w:proofErr w:type="spellEnd"/>
      <w:r>
        <w:rPr>
          <w:b/>
        </w:rPr>
        <w:t xml:space="preserve">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Отношенского сельсовета»</w:t>
      </w:r>
    </w:p>
    <w:p w:rsidR="00546321" w:rsidRDefault="00546321" w:rsidP="00546321">
      <w:pPr>
        <w:jc w:val="both"/>
      </w:pPr>
      <w:r>
        <w:t xml:space="preserve">  </w:t>
      </w:r>
    </w:p>
    <w:p w:rsidR="00546321" w:rsidRDefault="008957A5" w:rsidP="00546321">
      <w:pPr>
        <w:ind w:firstLine="426"/>
        <w:jc w:val="both"/>
      </w:pPr>
      <w:r w:rsidRPr="00642673">
        <w:rPr>
          <w:rStyle w:val="a3"/>
          <w:bCs/>
          <w:color w:val="auto"/>
          <w:kern w:val="28"/>
        </w:rPr>
        <w:t>В соответствии Бюджетно</w:t>
      </w:r>
      <w:r>
        <w:rPr>
          <w:rStyle w:val="a3"/>
          <w:bCs/>
          <w:color w:val="auto"/>
          <w:kern w:val="28"/>
        </w:rPr>
        <w:t>го кодекса Российской Федерации</w:t>
      </w:r>
      <w:r w:rsidRPr="00642673">
        <w:rPr>
          <w:rStyle w:val="a3"/>
          <w:bCs/>
          <w:color w:val="auto"/>
          <w:kern w:val="28"/>
        </w:rPr>
        <w:t>,</w:t>
      </w:r>
      <w:r>
        <w:rPr>
          <w:rStyle w:val="a3"/>
          <w:bCs/>
          <w:color w:val="auto"/>
          <w:kern w:val="28"/>
        </w:rPr>
        <w:t xml:space="preserve"> </w:t>
      </w:r>
      <w: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642673">
        <w:rPr>
          <w:rStyle w:val="a3"/>
          <w:bCs/>
          <w:color w:val="auto"/>
          <w:kern w:val="28"/>
        </w:rPr>
        <w:t>Закона Красноярск</w:t>
      </w:r>
      <w:r w:rsidR="0018138B">
        <w:rPr>
          <w:rStyle w:val="a3"/>
          <w:bCs/>
          <w:color w:val="auto"/>
          <w:kern w:val="28"/>
        </w:rPr>
        <w:t>ого края от 10.07.2007 № 2-317 «</w:t>
      </w:r>
      <w:r w:rsidRPr="00642673">
        <w:rPr>
          <w:rStyle w:val="a3"/>
          <w:bCs/>
          <w:color w:val="auto"/>
          <w:kern w:val="28"/>
        </w:rPr>
        <w:t>О бюджетных отношениях в Красноярском крае</w:t>
      </w:r>
      <w:r w:rsidR="0018138B">
        <w:rPr>
          <w:rStyle w:val="a3"/>
          <w:bCs/>
          <w:color w:val="auto"/>
          <w:kern w:val="28"/>
        </w:rPr>
        <w:t>»</w:t>
      </w:r>
      <w:r>
        <w:rPr>
          <w:rStyle w:val="a3"/>
          <w:bCs/>
          <w:color w:val="auto"/>
          <w:kern w:val="28"/>
        </w:rPr>
        <w:t>,</w:t>
      </w:r>
      <w:r w:rsidRPr="00642673">
        <w:rPr>
          <w:rStyle w:val="a3"/>
          <w:bCs/>
          <w:color w:val="auto"/>
          <w:kern w:val="28"/>
        </w:rPr>
        <w:t xml:space="preserve"> </w:t>
      </w:r>
      <w:r w:rsidR="00546321">
        <w:t xml:space="preserve">Постановления Правительства Красноярского края от 29.09.2021 № 668-п «О внесении изменений в Постановление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 руководствуясь ст. 23 Устава Отношенского сельсовета Казачинского района Красноярского края, Отношенский сельский Совет депутатов          </w:t>
      </w:r>
    </w:p>
    <w:p w:rsidR="00546321" w:rsidRDefault="00546321" w:rsidP="00546321">
      <w:pPr>
        <w:ind w:firstLine="426"/>
        <w:jc w:val="center"/>
      </w:pPr>
      <w:r>
        <w:t>РЕШИЛ:</w:t>
      </w:r>
    </w:p>
    <w:p w:rsidR="00D823CF" w:rsidRDefault="00546321" w:rsidP="00FA5713">
      <w:pPr>
        <w:numPr>
          <w:ilvl w:val="0"/>
          <w:numId w:val="4"/>
        </w:numPr>
        <w:ind w:left="426" w:hanging="426"/>
        <w:jc w:val="both"/>
      </w:pPr>
      <w:r>
        <w:t xml:space="preserve">Внести в Решение Отношенского сельского Совета депутатов от 24.12.2016 № 10-38 </w:t>
      </w:r>
      <w:proofErr w:type="spellStart"/>
      <w:r>
        <w:t>рс</w:t>
      </w:r>
      <w:proofErr w:type="spellEnd"/>
      <w:r>
        <w:t xml:space="preserve">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Отношенского сельсовета» (</w:t>
      </w:r>
      <w:proofErr w:type="spellStart"/>
      <w:r>
        <w:t>далее-Решение</w:t>
      </w:r>
      <w:proofErr w:type="spellEnd"/>
      <w:r>
        <w:t>)  следующие изменения:</w:t>
      </w:r>
    </w:p>
    <w:p w:rsidR="000C5DA1" w:rsidRPr="00642673" w:rsidRDefault="000C5DA1" w:rsidP="00FA5713">
      <w:pPr>
        <w:jc w:val="both"/>
      </w:pPr>
      <w:r>
        <w:t>1.1  С</w:t>
      </w:r>
      <w:r w:rsidRPr="00642673">
        <w:t>т</w:t>
      </w:r>
      <w:r w:rsidR="00FA5713">
        <w:t>атью</w:t>
      </w:r>
      <w:r w:rsidRPr="00642673">
        <w:t xml:space="preserve"> 1</w:t>
      </w:r>
      <w:r>
        <w:t>5</w:t>
      </w:r>
      <w:r w:rsidRPr="00642673">
        <w:t xml:space="preserve"> </w:t>
      </w:r>
      <w:r>
        <w:t>изложить в следующей редакции</w:t>
      </w:r>
      <w:r w:rsidRPr="00642673">
        <w:t>:</w:t>
      </w:r>
    </w:p>
    <w:p w:rsidR="000C5DA1" w:rsidRPr="004971FE" w:rsidRDefault="000C5DA1" w:rsidP="00FA5713">
      <w:pPr>
        <w:shd w:val="clear" w:color="auto" w:fill="FFFFFF"/>
        <w:ind w:firstLine="72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</w:rPr>
        <w:t>«</w:t>
      </w:r>
      <w:r w:rsidRPr="004971FE">
        <w:rPr>
          <w:b/>
          <w:bCs/>
          <w:color w:val="2C2D2E"/>
        </w:rPr>
        <w:t>Статья 15. Порядок формирования фонда оплаты лиц, замещающих муниципальные должности, и муниципальных служащих</w:t>
      </w:r>
    </w:p>
    <w:p w:rsidR="000C5DA1" w:rsidRPr="00FA5713" w:rsidRDefault="000C5DA1" w:rsidP="00FA5713">
      <w:pPr>
        <w:pStyle w:val="a8"/>
        <w:jc w:val="both"/>
      </w:pPr>
      <w:r w:rsidRPr="004971FE">
        <w:t xml:space="preserve">1.Предельный размер фонда оплаты труда состоит </w:t>
      </w:r>
      <w:proofErr w:type="gramStart"/>
      <w:r w:rsidRPr="004971FE">
        <w:t>из</w:t>
      </w:r>
      <w:proofErr w:type="gramEnd"/>
      <w:r w:rsidRPr="004971FE">
        <w:t>:</w:t>
      </w:r>
    </w:p>
    <w:p w:rsidR="000C5DA1" w:rsidRPr="004971FE" w:rsidRDefault="000C5DA1" w:rsidP="00FA5713">
      <w:pPr>
        <w:pStyle w:val="a8"/>
        <w:jc w:val="both"/>
        <w:rPr>
          <w:rFonts w:ascii="Arial" w:hAnsi="Arial" w:cs="Arial"/>
          <w:sz w:val="23"/>
          <w:szCs w:val="23"/>
        </w:rPr>
      </w:pPr>
      <w:r w:rsidRPr="004971FE">
        <w:t xml:space="preserve">               </w:t>
      </w:r>
      <w:proofErr w:type="gramStart"/>
      <w:r w:rsidRPr="004971FE">
        <w:t>Предельный размер фонда оплаты  труда  главы  муниципального  образования, который  формируется  из  расчета  24-х кратного среднемесячного размера денежного вознаграждения главы  муниципального образования с учетом  средств на  выплату районного коэффициента, процентной надбавки к заработной  плате  за  стаж  работы в районах Крайнего  Севера, в  приравненных к ним местностях и иных местностях края с особыми климатическими  условиями;</w:t>
      </w:r>
      <w:proofErr w:type="gramEnd"/>
    </w:p>
    <w:p w:rsidR="000C5DA1" w:rsidRPr="004971FE" w:rsidRDefault="000C5DA1" w:rsidP="00FA5713">
      <w:pPr>
        <w:pStyle w:val="a8"/>
        <w:jc w:val="both"/>
        <w:rPr>
          <w:rFonts w:ascii="Arial" w:hAnsi="Arial" w:cs="Arial"/>
          <w:sz w:val="23"/>
          <w:szCs w:val="23"/>
        </w:rPr>
      </w:pPr>
      <w:r w:rsidRPr="004971FE">
        <w:t xml:space="preserve">             </w:t>
      </w:r>
      <w:proofErr w:type="gramStart"/>
      <w:r w:rsidRPr="004971FE">
        <w:t>Предельног</w:t>
      </w:r>
      <w:r w:rsidR="00FA5713">
        <w:t>о размера  фонда оплаты труда (</w:t>
      </w:r>
      <w:r w:rsidRPr="004971FE">
        <w:t>за исключением главы муниципального образования), который  формируется   из  расчета  среднемесячного базового   должностного оклада и количества должностных окладов,   предусмотренных при  расчете размера фонда оплаты труда с учетом средств на выплату районного коэффициента, процентной надбавки к заработной  плате  за  стаж  работы в районах Крайнего  Севера, в  приравненных к ним местностях и иных местностях края с особыми климатическими</w:t>
      </w:r>
      <w:proofErr w:type="gramEnd"/>
      <w:r w:rsidRPr="004971FE">
        <w:t>  условиями.</w:t>
      </w:r>
    </w:p>
    <w:p w:rsidR="000C5DA1" w:rsidRPr="004971FE" w:rsidRDefault="000C5DA1" w:rsidP="00FA5713">
      <w:pPr>
        <w:pStyle w:val="a8"/>
        <w:jc w:val="both"/>
        <w:rPr>
          <w:rFonts w:ascii="Arial" w:hAnsi="Arial" w:cs="Arial"/>
          <w:sz w:val="23"/>
          <w:szCs w:val="23"/>
        </w:rPr>
      </w:pPr>
      <w:r w:rsidRPr="004971FE">
        <w:t>2. Среднемесячный базовый должностной оклад при формировании   фонда оплаты труда муниципальных служащих  учитывается на уровне максимального размера должностного оклада по должности «специалист 1 категории».</w:t>
      </w:r>
    </w:p>
    <w:p w:rsidR="000C5DA1" w:rsidRPr="004971FE" w:rsidRDefault="000C5DA1" w:rsidP="00FA5713">
      <w:pPr>
        <w:pStyle w:val="a8"/>
        <w:jc w:val="both"/>
        <w:rPr>
          <w:rFonts w:ascii="Arial" w:hAnsi="Arial" w:cs="Arial"/>
          <w:sz w:val="23"/>
          <w:szCs w:val="23"/>
        </w:rPr>
      </w:pPr>
      <w:r w:rsidRPr="004971FE">
        <w:lastRenderedPageBreak/>
        <w:t>3. При формировании годового фонда оплаты труда муниципальных служащих  учитываются следующие средства для выплаты (в размеры должностного оклада)</w:t>
      </w:r>
    </w:p>
    <w:p w:rsidR="000C5DA1" w:rsidRPr="004971FE" w:rsidRDefault="000C5DA1" w:rsidP="000C5DA1">
      <w:pPr>
        <w:pStyle w:val="a8"/>
        <w:jc w:val="center"/>
        <w:rPr>
          <w:rFonts w:ascii="Arial" w:hAnsi="Arial" w:cs="Arial"/>
          <w:sz w:val="23"/>
          <w:szCs w:val="23"/>
        </w:rPr>
      </w:pPr>
      <w:r w:rsidRPr="004971FE">
        <w:rPr>
          <w:b/>
          <w:bCs/>
        </w:rPr>
        <w:t xml:space="preserve">Размер фонда оплаты труда состоит </w:t>
      </w:r>
      <w:proofErr w:type="gramStart"/>
      <w:r w:rsidRPr="004971FE">
        <w:rPr>
          <w:b/>
          <w:bCs/>
        </w:rPr>
        <w:t>из</w:t>
      </w:r>
      <w:proofErr w:type="gramEnd"/>
      <w:r w:rsidRPr="004971FE">
        <w:rPr>
          <w:b/>
          <w:bCs/>
        </w:rPr>
        <w:t>:</w:t>
      </w:r>
    </w:p>
    <w:tbl>
      <w:tblPr>
        <w:tblW w:w="0" w:type="auto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0"/>
        <w:gridCol w:w="4395"/>
      </w:tblGrid>
      <w:tr w:rsidR="000C5DA1" w:rsidRPr="004971FE" w:rsidTr="00FB15D5">
        <w:trPr>
          <w:trHeight w:val="117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5DA1" w:rsidRPr="004971FE" w:rsidRDefault="000C5DA1" w:rsidP="00FB15D5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  Составляющие денежного содержания муниципальных служащих, учитываемые при формировании фонда оплаты труда</w:t>
            </w:r>
          </w:p>
        </w:tc>
        <w:tc>
          <w:tcPr>
            <w:tcW w:w="4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5DA1" w:rsidRPr="004971FE" w:rsidRDefault="000C5DA1" w:rsidP="00FB15D5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Количество должностных окладов, учитываемых при формировании      </w:t>
            </w:r>
            <w:r w:rsidRPr="004971FE">
              <w:br/>
              <w:t>фонда оплаты труда</w:t>
            </w:r>
          </w:p>
          <w:p w:rsidR="000C5DA1" w:rsidRPr="004971FE" w:rsidRDefault="000C5DA1" w:rsidP="00FB15D5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0C5DA1" w:rsidRPr="004971FE" w:rsidTr="00FB15D5">
        <w:trPr>
          <w:trHeight w:val="36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5DA1" w:rsidRPr="004971FE" w:rsidRDefault="000C5DA1" w:rsidP="00FB15D5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Должностной оклад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5DA1" w:rsidRPr="004971FE" w:rsidRDefault="000C5DA1" w:rsidP="00FB15D5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12</w:t>
            </w:r>
          </w:p>
        </w:tc>
      </w:tr>
      <w:tr w:rsidR="000C5DA1" w:rsidRPr="004971FE" w:rsidTr="00FB15D5">
        <w:trPr>
          <w:trHeight w:val="360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5DA1" w:rsidRPr="004971FE" w:rsidRDefault="000C5DA1" w:rsidP="00FB15D5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Надбавка за классный чин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5DA1" w:rsidRPr="004971FE" w:rsidRDefault="000C5DA1" w:rsidP="00FB15D5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4</w:t>
            </w:r>
          </w:p>
        </w:tc>
      </w:tr>
      <w:tr w:rsidR="000C5DA1" w:rsidRPr="004971FE" w:rsidTr="00FB15D5">
        <w:trPr>
          <w:trHeight w:val="360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5DA1" w:rsidRPr="004971FE" w:rsidRDefault="000C5DA1" w:rsidP="00FB15D5">
            <w:pPr>
              <w:pStyle w:val="a8"/>
              <w:rPr>
                <w:rFonts w:ascii="Arial" w:hAnsi="Arial" w:cs="Arial"/>
                <w:bCs/>
                <w:sz w:val="27"/>
                <w:szCs w:val="27"/>
              </w:rPr>
            </w:pPr>
            <w:r w:rsidRPr="004971FE">
              <w:rPr>
                <w:bCs/>
              </w:rPr>
              <w:t>Надбавка за выслугу лет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5DA1" w:rsidRPr="004971FE" w:rsidRDefault="000C5DA1" w:rsidP="00FB15D5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3</w:t>
            </w:r>
          </w:p>
        </w:tc>
      </w:tr>
      <w:tr w:rsidR="000C5DA1" w:rsidRPr="004971FE" w:rsidTr="00FB15D5">
        <w:trPr>
          <w:trHeight w:val="600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5DA1" w:rsidRPr="004971FE" w:rsidRDefault="000C5DA1" w:rsidP="00FB15D5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Надбавка за особые условия муниципальной службы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5DA1" w:rsidRPr="004971FE" w:rsidRDefault="000C5DA1" w:rsidP="00FB15D5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6</w:t>
            </w:r>
          </w:p>
        </w:tc>
      </w:tr>
      <w:tr w:rsidR="000C5DA1" w:rsidRPr="004971FE" w:rsidTr="00FB15D5">
        <w:trPr>
          <w:trHeight w:val="79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5DA1" w:rsidRPr="004971FE" w:rsidRDefault="000C5DA1" w:rsidP="00FB15D5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Процентная надбавка  за работу со сведениями, составляющими государственную тайну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5DA1" w:rsidRPr="004971FE" w:rsidRDefault="000C5DA1" w:rsidP="00FB15D5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0,2</w:t>
            </w:r>
          </w:p>
        </w:tc>
      </w:tr>
      <w:tr w:rsidR="000C5DA1" w:rsidRPr="004971FE" w:rsidTr="00FB15D5">
        <w:trPr>
          <w:trHeight w:val="600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5DA1" w:rsidRPr="004971FE" w:rsidRDefault="000C5DA1" w:rsidP="00FB15D5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Премии за выполнение особо важных и сложных заданий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5DA1" w:rsidRPr="004971FE" w:rsidRDefault="000C5DA1" w:rsidP="00FB15D5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2,7</w:t>
            </w:r>
          </w:p>
        </w:tc>
      </w:tr>
      <w:tr w:rsidR="000C5DA1" w:rsidRPr="004971FE" w:rsidTr="00FB15D5">
        <w:trPr>
          <w:trHeight w:val="360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5DA1" w:rsidRPr="004971FE" w:rsidRDefault="000C5DA1" w:rsidP="00FB15D5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Денежное поощрение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5DA1" w:rsidRPr="004971FE" w:rsidRDefault="000C5DA1" w:rsidP="00FB15D5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20,1</w:t>
            </w:r>
          </w:p>
        </w:tc>
      </w:tr>
      <w:tr w:rsidR="000C5DA1" w:rsidRPr="004971FE" w:rsidTr="00FB15D5">
        <w:trPr>
          <w:trHeight w:val="1080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5DA1" w:rsidRPr="004971FE" w:rsidRDefault="000C5DA1" w:rsidP="00FB15D5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5DA1" w:rsidRPr="004971FE" w:rsidRDefault="000C5DA1" w:rsidP="00FB15D5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4</w:t>
            </w:r>
          </w:p>
        </w:tc>
      </w:tr>
      <w:tr w:rsidR="000C5DA1" w:rsidRPr="004971FE" w:rsidTr="00FB15D5">
        <w:trPr>
          <w:trHeight w:val="240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5DA1" w:rsidRPr="004971FE" w:rsidRDefault="000C5DA1" w:rsidP="00FB15D5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Итого         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5DA1" w:rsidRPr="004971FE" w:rsidRDefault="000C5DA1" w:rsidP="00FB15D5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52,0</w:t>
            </w:r>
          </w:p>
        </w:tc>
      </w:tr>
    </w:tbl>
    <w:p w:rsidR="000C5DA1" w:rsidRDefault="000C5DA1" w:rsidP="000C5DA1">
      <w:pPr>
        <w:pStyle w:val="a8"/>
      </w:pPr>
    </w:p>
    <w:p w:rsidR="00FA5713" w:rsidRDefault="000C5DA1" w:rsidP="00FA5713">
      <w:pPr>
        <w:pStyle w:val="a8"/>
        <w:jc w:val="both"/>
        <w:rPr>
          <w:rFonts w:ascii="Arial" w:hAnsi="Arial" w:cs="Arial"/>
          <w:sz w:val="23"/>
          <w:szCs w:val="23"/>
        </w:rPr>
      </w:pPr>
      <w:r w:rsidRPr="004971FE">
        <w:t> 3.1. Общее количество должностных окладов, учитываемое при расчете предельного размера фонда оплаты труда, установленное пунктом 3 настоящего Порядка, увеличивается на 10 процентов для выплаты премий.</w:t>
      </w:r>
      <w:r>
        <w:rPr>
          <w:rFonts w:ascii="Arial" w:hAnsi="Arial" w:cs="Arial"/>
          <w:sz w:val="23"/>
          <w:szCs w:val="23"/>
        </w:rPr>
        <w:t xml:space="preserve"> </w:t>
      </w:r>
    </w:p>
    <w:p w:rsidR="000C5DA1" w:rsidRPr="004971FE" w:rsidRDefault="000C5DA1" w:rsidP="00FA5713">
      <w:pPr>
        <w:pStyle w:val="a8"/>
        <w:ind w:firstLine="708"/>
        <w:jc w:val="both"/>
        <w:rPr>
          <w:rFonts w:ascii="Arial" w:hAnsi="Arial" w:cs="Arial"/>
          <w:sz w:val="23"/>
          <w:szCs w:val="23"/>
        </w:rPr>
      </w:pPr>
      <w:r w:rsidRPr="004971FE">
        <w:t>Объем средств, предусматриваемый в соответствии с абзацем первым настоящего пункта, не может быть использован на иные цели.</w:t>
      </w:r>
    </w:p>
    <w:p w:rsidR="00D823CF" w:rsidRPr="00FA5713" w:rsidRDefault="000C5DA1" w:rsidP="00FA5713">
      <w:pPr>
        <w:pStyle w:val="a8"/>
        <w:jc w:val="both"/>
        <w:rPr>
          <w:rFonts w:ascii="Arial" w:hAnsi="Arial" w:cs="Arial"/>
          <w:sz w:val="23"/>
          <w:szCs w:val="23"/>
        </w:rPr>
      </w:pPr>
      <w:r w:rsidRPr="004971FE">
        <w:t>4</w:t>
      </w:r>
      <w:r>
        <w:t>.</w:t>
      </w:r>
      <w:r w:rsidRPr="004971FE">
        <w:t xml:space="preserve"> Размеры денежного вознаграждения депутатов, выборных должностных лиц, осуществляющих свои полномочия на постоянной основе, членов выборных органов местного самоуправления, размеры окладов денежного содержания по должностям муниципальной службы </w:t>
      </w:r>
      <w:r w:rsidR="00FA5713">
        <w:t>Отношенского</w:t>
      </w:r>
      <w:r w:rsidRPr="004971FE">
        <w:t>  се</w:t>
      </w:r>
      <w:r w:rsidR="00FA5713">
        <w:t xml:space="preserve">льсовета ежегодно увеличиваются </w:t>
      </w:r>
      <w:r w:rsidRPr="004971FE">
        <w:t xml:space="preserve">(индексируются)  с учетом уровня инфляции (потребительских цен) и внесением </w:t>
      </w:r>
      <w:r>
        <w:t>изменений в настоящее Решение</w:t>
      </w:r>
      <w:proofErr w:type="gramStart"/>
      <w:r>
        <w:t>.»</w:t>
      </w:r>
      <w:proofErr w:type="gramEnd"/>
    </w:p>
    <w:p w:rsidR="008957A5" w:rsidRDefault="00546321" w:rsidP="008957A5">
      <w:pPr>
        <w:numPr>
          <w:ilvl w:val="0"/>
          <w:numId w:val="4"/>
        </w:numPr>
        <w:ind w:left="426" w:hanging="426"/>
        <w:jc w:val="both"/>
      </w:pPr>
      <w:r>
        <w:t xml:space="preserve">Контроль над исполнением настоящего Решения возложить на </w:t>
      </w:r>
      <w:r w:rsidR="008957A5">
        <w:t>Главу</w:t>
      </w:r>
      <w:r>
        <w:t xml:space="preserve"> Отношенского</w:t>
      </w:r>
      <w:r w:rsidR="008957A5">
        <w:t xml:space="preserve"> сельсовета.</w:t>
      </w:r>
    </w:p>
    <w:p w:rsidR="00546321" w:rsidRDefault="00546321" w:rsidP="008957A5">
      <w:pPr>
        <w:numPr>
          <w:ilvl w:val="0"/>
          <w:numId w:val="4"/>
        </w:numPr>
        <w:ind w:left="426" w:hanging="426"/>
        <w:jc w:val="both"/>
      </w:pPr>
      <w:r>
        <w:t>Решение вступает в силу в силу</w:t>
      </w:r>
      <w:r w:rsidR="008957A5" w:rsidRPr="008957A5">
        <w:t xml:space="preserve"> </w:t>
      </w:r>
      <w:r w:rsidR="008957A5">
        <w:t>с 01.01.2022</w:t>
      </w:r>
      <w:r w:rsidR="008957A5" w:rsidRPr="00642673">
        <w:t xml:space="preserve"> и подлежит  официально</w:t>
      </w:r>
      <w:r w:rsidR="008957A5">
        <w:t>му</w:t>
      </w:r>
      <w:r w:rsidR="008957A5" w:rsidRPr="00642673">
        <w:t xml:space="preserve"> опубликовани</w:t>
      </w:r>
      <w:r w:rsidR="008957A5">
        <w:t>ю</w:t>
      </w:r>
      <w:r w:rsidR="008957A5" w:rsidRPr="00642673">
        <w:t xml:space="preserve"> </w:t>
      </w:r>
      <w:r>
        <w:t>в газете «Отношенский вестник».</w:t>
      </w:r>
    </w:p>
    <w:p w:rsidR="00546321" w:rsidRDefault="00546321" w:rsidP="00546321"/>
    <w:p w:rsidR="00546321" w:rsidRDefault="00546321" w:rsidP="00546321">
      <w:r>
        <w:t xml:space="preserve">Председатель Отношенского </w:t>
      </w:r>
    </w:p>
    <w:p w:rsidR="00546321" w:rsidRDefault="00546321" w:rsidP="00546321">
      <w:r>
        <w:t xml:space="preserve">сельского Совета депутатов   </w:t>
      </w:r>
      <w:r>
        <w:tab/>
      </w:r>
      <w:r>
        <w:tab/>
        <w:t xml:space="preserve">                                            С.А. </w:t>
      </w:r>
      <w:proofErr w:type="spellStart"/>
      <w:r>
        <w:t>Биктагирова</w:t>
      </w:r>
      <w:proofErr w:type="spellEnd"/>
    </w:p>
    <w:p w:rsidR="00546321" w:rsidRDefault="00546321" w:rsidP="00546321"/>
    <w:p w:rsidR="00546321" w:rsidRDefault="00546321" w:rsidP="00546321">
      <w:r>
        <w:t>Глава Отношенского сельсовета                                                            Г.Ф. Гибадулин</w:t>
      </w:r>
    </w:p>
    <w:p w:rsidR="00211267" w:rsidRDefault="00211267" w:rsidP="006A4364">
      <w:pPr>
        <w:ind w:firstLine="709"/>
        <w:jc w:val="center"/>
        <w:rPr>
          <w:bCs/>
          <w:kern w:val="28"/>
        </w:rPr>
      </w:pPr>
    </w:p>
    <w:p w:rsidR="000B2100" w:rsidRPr="00642673" w:rsidRDefault="0027517C"/>
    <w:sectPr w:rsidR="000B2100" w:rsidRPr="00642673" w:rsidSect="00EB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C8F"/>
    <w:multiLevelType w:val="hybridMultilevel"/>
    <w:tmpl w:val="F06A9B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D17F8"/>
    <w:multiLevelType w:val="hybridMultilevel"/>
    <w:tmpl w:val="996A0D9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E6C50"/>
    <w:multiLevelType w:val="hybridMultilevel"/>
    <w:tmpl w:val="24400394"/>
    <w:lvl w:ilvl="0" w:tplc="FE5486DC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4BFE21ED"/>
    <w:multiLevelType w:val="multilevel"/>
    <w:tmpl w:val="41CE0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4">
    <w:nsid w:val="64E02E95"/>
    <w:multiLevelType w:val="hybridMultilevel"/>
    <w:tmpl w:val="5C00EC60"/>
    <w:lvl w:ilvl="0" w:tplc="DFA44CB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C12"/>
    <w:rsid w:val="00085C12"/>
    <w:rsid w:val="000C5DA1"/>
    <w:rsid w:val="00122456"/>
    <w:rsid w:val="00126BB8"/>
    <w:rsid w:val="0018138B"/>
    <w:rsid w:val="001E49F3"/>
    <w:rsid w:val="001F300F"/>
    <w:rsid w:val="00200C0B"/>
    <w:rsid w:val="00211267"/>
    <w:rsid w:val="0027517C"/>
    <w:rsid w:val="002D6093"/>
    <w:rsid w:val="00314157"/>
    <w:rsid w:val="00380AC7"/>
    <w:rsid w:val="004971FE"/>
    <w:rsid w:val="0052391A"/>
    <w:rsid w:val="00546321"/>
    <w:rsid w:val="00584658"/>
    <w:rsid w:val="00642673"/>
    <w:rsid w:val="006A4364"/>
    <w:rsid w:val="008957A5"/>
    <w:rsid w:val="00A62421"/>
    <w:rsid w:val="00A9006D"/>
    <w:rsid w:val="00B358B1"/>
    <w:rsid w:val="00BC25F3"/>
    <w:rsid w:val="00C71CB7"/>
    <w:rsid w:val="00D823CF"/>
    <w:rsid w:val="00DF2011"/>
    <w:rsid w:val="00E62795"/>
    <w:rsid w:val="00E82423"/>
    <w:rsid w:val="00EB12D0"/>
    <w:rsid w:val="00EC11C9"/>
    <w:rsid w:val="00FA5713"/>
    <w:rsid w:val="00FB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971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85C12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085C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27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279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1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4971FE"/>
    <w:pPr>
      <w:spacing w:before="100" w:beforeAutospacing="1" w:after="100" w:afterAutospacing="1"/>
    </w:pPr>
  </w:style>
  <w:style w:type="paragraph" w:customStyle="1" w:styleId="msobodytext3mrcssattr">
    <w:name w:val="msobodytext3_mr_css_attr"/>
    <w:basedOn w:val="a"/>
    <w:rsid w:val="004971FE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9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Компьютер 1</cp:lastModifiedBy>
  <cp:revision>15</cp:revision>
  <cp:lastPrinted>2021-12-16T08:41:00Z</cp:lastPrinted>
  <dcterms:created xsi:type="dcterms:W3CDTF">2021-12-16T08:40:00Z</dcterms:created>
  <dcterms:modified xsi:type="dcterms:W3CDTF">2021-12-30T04:00:00Z</dcterms:modified>
</cp:coreProperties>
</file>