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63" w:rsidRPr="00680FA6" w:rsidRDefault="0045172E" w:rsidP="00123971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</w:t>
      </w:r>
      <w:r w:rsidR="00680FA6" w:rsidRPr="004517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 весенне летнего пожароопасного периода.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Правилами противопожарного режима в Российской Фед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рации с наступлением весенне летнего пожароопасного периода после схода снежного покрова необходимо выполнить следующие пункты, направленные на недопущение возникновения пожаров на территории поселений, а именно: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п.65. Запрещается использовать противопожарные расстояния между зд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готовления пищи с применением открытого огня (мангалов, жаровен и др.) и сжигания отходов и тары</w:t>
      </w:r>
      <w:proofErr w:type="gram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.66. На землях общего пользования населенных пунктов, а также на терр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моуправления  сельских поселений</w:t>
      </w:r>
      <w:proofErr w:type="gram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.67. </w:t>
      </w:r>
      <w:proofErr w:type="gram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Правообладатели земельных участков (собственники земельных учас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огородничества) обязаны производить своевременную уборку мусора, сухой растительности и покос травы.</w:t>
      </w:r>
      <w:proofErr w:type="gram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Границы уборки указанных территорий определяются границами земельного участка на основании кадастрового или межевого плана</w:t>
      </w:r>
      <w:proofErr w:type="gram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.68. На территориях общего пользования, прилегающих к жилым домам, с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зяйственного назначения запрещается устраивать свалки горючих отходов</w:t>
      </w:r>
      <w:proofErr w:type="gram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.69. На территориях общего пользования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сельских поселений,  на террит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риях садоводства или огородничества, в том числе вне границ указанных территорий, в охранных зонах линий электропередачи, электрических ста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ций и подстанций, а также в лесах, лесопарковых зонах и на землях сельск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хозяйственного назначения запрещается устраивать свалки отходов</w:t>
      </w:r>
      <w:proofErr w:type="gram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.70. </w:t>
      </w:r>
      <w:proofErr w:type="gram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со дня схода снежного покрова до установления устойчивой дождливой осенней погоды или образования снежного покрова органы гос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дарственной власти, органы местного самоуправления, учреждения, орган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зации, иные юридические лица независимо от их организационно-правовых форм и форм собственности, крестьянские (фермерские) хозяйства, общес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венные объединения, индивидуальные предприниматели, должностные лица, граждане Российской Федерации, иностранные граждане, лица без гражда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ства, владеющие, пользующиеся и (или) распоряжающиеся территорией, прилегающей</w:t>
      </w:r>
      <w:proofErr w:type="gram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лесу, обеспечивают ее очистку от сухой травянистой раст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тельности, пожнивных остатков, валежника, порубочных остатков, мусора и 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</w:t>
      </w:r>
      <w:proofErr w:type="gram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.73. Руководитель организации, лица, владеющие, пользующиеся и (или) распоряжающиеся объектами защиты, обеспечивают очистку объекта защ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от горючих отходов, мусора, тары и сухой растительности.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Зона очистки от сухой травы, веток, других горючих материалов и сухосто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деревьев вокруг костра, место размещения запаса дров и огнетушащих средств должны составлять не менее 2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етров.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территории поселений,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муниципальных образований, а также на рассто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менее 1000 метров от лесов запрещается запускать неуправляемые изд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лия (фонарики) из горючих мат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риалов, принцип подъема которых на </w:t>
      </w:r>
      <w:proofErr w:type="gram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высоту основан на</w:t>
      </w:r>
      <w:proofErr w:type="gram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нагревании воздуха внутри конструкции с помощью о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крытого огня.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20 марта 2021 года вступили в силу поправки, предусматривающие новые штрафы за нарушение правил пожарной безопасности. Соответствующие и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менения внесены в </w:t>
      </w:r>
      <w:proofErr w:type="spell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Федеральным законом от 09.03.2021 № 36-ФЗ.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За нарушение требований пожарной безопасности: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Гражданину - Предупреждение или штраф в размере от 2 000 до 3 000 ру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Должностному лицу - Предупреждение или штраф в размере от 6 000 до 15 000 рублей.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ИП - Предупреждение или штраф в размере 20 000 до 30 000 рублей.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Юридическому лицу - Предупреждение или штраф: от 150 000 до 200 000 рублей.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Нарушение требований пожарной безопасности в условиях особого прот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вопожарного режима: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Гражданину - Штраф от 2 000 до 4 000 рублей.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Должностному лицу – Штраф от 15 000 до 30 000 рублей.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ИП - Штраф от 30 000 до 40 000 рублей.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Юридическому лицу - Штраф от 200 000 до 400 000 рублей.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Вступило в силу с 20 марта 2021г. повторное нарушение на объекте с чре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вычайно высоким, высоким либо значительным риском приведет к санкциям в отношении: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Гражданину - Штраф от 3 000 до 4 000 рублей.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Должностному лицу – Штраф от в 15 000 до 20 000 рублей.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ИП - Штраф от 30 000 до 40 000 рублей или приостановление деятельности до 30 суток.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Юридическому лицу - Штраф от 200 000 до 400 000 рублей или приостано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 деятельности на срок до 30 суток.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Если нарушение требований повлекло уничтожение или повреждение ч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жого имущества, причинение вреда здоровью человека: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Гражданину - Штраф от 4 000 до 5 000 рублей.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Должностному лицу – Штраф от 40 000 до 50 000 рублей.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Юридическому лицу - Штраф от 350 000 до 400 000 рублей.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Если нарушение требований повлекло тяжелый вред здоровью человека или смерть: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ИП - Штраф от 600 000 до 1 000 </w:t>
      </w:r>
      <w:proofErr w:type="spell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</w:t>
      </w:r>
      <w:proofErr w:type="spell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приостановление деятельности на 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срок до 90 суток.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Юридическому лицу - Штраф от 600 000 до 1 000 </w:t>
      </w:r>
      <w:proofErr w:type="spellStart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</w:t>
      </w:r>
      <w:proofErr w:type="spellEnd"/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приостановление деятельности на срок до 90 суток.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весь весенне летний пожароопасный период необходимо обеспечить н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личие емкости (бочки) с водой.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около вашего дома горит мусор или сухая трава немедленно сообщите в пожарную охрану по телефону 101 или 112, точно назвав адрес места прои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шествия, попробуйте потушить огонь самостоятельно, забив его ветками, з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сыпав землей, залив водой.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подавляющем большинстве своем виновниками происходящего являемся мы с вами, а точнее, наши беспечность и бескультурье.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КГКУ «Противопожарная охрана Красноярского края» рекомендует собл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680FA6" w:rsidRPr="00680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требования пожарной безопасности и не допустить беды!</w:t>
      </w:r>
    </w:p>
    <w:p w:rsidR="00680FA6" w:rsidRDefault="00680FA6" w:rsidP="00123971">
      <w:pPr>
        <w:pStyle w:val="a4"/>
        <w:rPr>
          <w:rFonts w:ascii="Arial" w:hAnsi="Arial" w:cs="Arial"/>
          <w:color w:val="000000"/>
          <w:sz w:val="12"/>
          <w:szCs w:val="12"/>
          <w:shd w:val="clear" w:color="auto" w:fill="FFFFFF"/>
        </w:rPr>
      </w:pPr>
    </w:p>
    <w:p w:rsidR="00680FA6" w:rsidRDefault="00680FA6" w:rsidP="0012397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47059" w:rsidRPr="00CF0FE6" w:rsidRDefault="00CF0FE6">
      <w:pPr>
        <w:rPr>
          <w:rFonts w:ascii="Times New Roman" w:hAnsi="Times New Roman" w:cs="Times New Roman"/>
          <w:sz w:val="28"/>
          <w:szCs w:val="28"/>
        </w:rPr>
      </w:pPr>
      <w:r w:rsidRPr="00CF0FE6">
        <w:rPr>
          <w:rFonts w:ascii="Times New Roman" w:hAnsi="Times New Roman" w:cs="Times New Roman"/>
          <w:sz w:val="28"/>
          <w:szCs w:val="28"/>
        </w:rPr>
        <w:t>Инструктор по противопожарной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  Гали Ахматшин</w:t>
      </w:r>
    </w:p>
    <w:sectPr w:rsidR="00247059" w:rsidRPr="00CF0FE6" w:rsidSect="0012397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7F80"/>
    <w:multiLevelType w:val="multilevel"/>
    <w:tmpl w:val="56D0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4155F"/>
    <w:multiLevelType w:val="multilevel"/>
    <w:tmpl w:val="65C0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compat>
    <w:useFELayout/>
  </w:compat>
  <w:rsids>
    <w:rsidRoot w:val="00123971"/>
    <w:rsid w:val="00054363"/>
    <w:rsid w:val="00123971"/>
    <w:rsid w:val="00247059"/>
    <w:rsid w:val="0045172E"/>
    <w:rsid w:val="00680FA6"/>
    <w:rsid w:val="006A1A7D"/>
    <w:rsid w:val="00A0793F"/>
    <w:rsid w:val="00CF0FE6"/>
    <w:rsid w:val="00D44DB8"/>
    <w:rsid w:val="00F1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D2"/>
  </w:style>
  <w:style w:type="paragraph" w:styleId="1">
    <w:name w:val="heading 1"/>
    <w:basedOn w:val="a"/>
    <w:next w:val="a"/>
    <w:link w:val="10"/>
    <w:uiPriority w:val="9"/>
    <w:qFormat/>
    <w:rsid w:val="00054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3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9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2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2397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54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054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6110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031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865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6</cp:revision>
  <dcterms:created xsi:type="dcterms:W3CDTF">2022-04-12T02:14:00Z</dcterms:created>
  <dcterms:modified xsi:type="dcterms:W3CDTF">2022-04-12T02:24:00Z</dcterms:modified>
</cp:coreProperties>
</file>